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31360">
      <w:pPr>
        <w:pStyle w:val="SemEspaamento"/>
      </w:pPr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FF28C14" wp14:editId="26F4B63B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14FFBC8B" wp14:editId="31F0E26F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72212E">
        <w:rPr>
          <w:rFonts w:ascii="Arial" w:hAnsi="Arial" w:cs="Arial"/>
          <w:b/>
          <w:sz w:val="24"/>
        </w:rPr>
        <w:t>São Borja</w:t>
      </w:r>
    </w:p>
    <w:p w:rsidR="00B40392" w:rsidRPr="00B40392" w:rsidRDefault="0072212E" w:rsidP="00B4039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Este município apresentou coleta de amostras de água para análise do parâmetro fluoreto a partir de 2009. Portanto os dados registrados como média de 2000 a 2009 na verdade correspondem aos dados de amostras de água coletadas apenas no ano de 2009.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08B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12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1360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B313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B313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Helenita</cp:lastModifiedBy>
  <cp:revision>2</cp:revision>
  <dcterms:created xsi:type="dcterms:W3CDTF">2015-01-19T21:42:00Z</dcterms:created>
  <dcterms:modified xsi:type="dcterms:W3CDTF">2015-01-19T21:42:00Z</dcterms:modified>
</cp:coreProperties>
</file>